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48" w:rsidRDefault="00BB0B48" w:rsidP="00BB0B48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a4"/>
          <w:b/>
          <w:color w:val="3E4040"/>
          <w:sz w:val="27"/>
          <w:szCs w:val="27"/>
          <w:bdr w:val="none" w:sz="0" w:space="0" w:color="auto" w:frame="1"/>
        </w:rPr>
      </w:pPr>
    </w:p>
    <w:p w:rsidR="007D47F9" w:rsidRPr="007D47F9" w:rsidRDefault="008E1C15" w:rsidP="007D47F9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hyperlink r:id="rId4" w:history="1">
        <w:r w:rsidR="007D47F9" w:rsidRPr="007D47F9">
          <w:rPr>
            <w:rFonts w:ascii="Arial" w:eastAsia="Times New Roman" w:hAnsi="Arial" w:cs="Arial"/>
            <w:b/>
            <w:bCs/>
            <w:color w:val="0563C1" w:themeColor="hyperlink"/>
            <w:kern w:val="36"/>
            <w:sz w:val="28"/>
            <w:szCs w:val="28"/>
            <w:u w:val="single"/>
            <w:lang w:eastAsia="ru-RU"/>
          </w:rPr>
          <w:t>http://www.nalog.gov.by/ru/sbor-za-osushchestvlenie-deyatelnosti-po-okazaniyu-uslug-vsfere-agroehkoturizma/</w:t>
        </w:r>
      </w:hyperlink>
      <w:r w:rsidR="007D47F9" w:rsidRPr="007D47F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7D47F9" w:rsidRDefault="007D47F9" w:rsidP="00BB0B48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a4"/>
          <w:b/>
          <w:i w:val="0"/>
          <w:color w:val="3E4040"/>
          <w:sz w:val="27"/>
          <w:szCs w:val="27"/>
          <w:bdr w:val="none" w:sz="0" w:space="0" w:color="auto" w:frame="1"/>
        </w:rPr>
      </w:pPr>
    </w:p>
    <w:p w:rsidR="007D47F9" w:rsidRDefault="007D47F9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Style w:val="a4"/>
          <w:b/>
          <w:i w:val="0"/>
          <w:color w:val="3E4040"/>
          <w:sz w:val="27"/>
          <w:szCs w:val="27"/>
          <w:bdr w:val="none" w:sz="0" w:space="0" w:color="auto" w:frame="1"/>
        </w:rPr>
      </w:pPr>
    </w:p>
    <w:p w:rsidR="00BB0B48" w:rsidRP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Style w:val="a4"/>
          <w:b/>
          <w:i w:val="0"/>
          <w:color w:val="3E4040"/>
          <w:sz w:val="27"/>
          <w:szCs w:val="27"/>
          <w:bdr w:val="none" w:sz="0" w:space="0" w:color="auto" w:frame="1"/>
        </w:rPr>
      </w:pPr>
      <w:r>
        <w:rPr>
          <w:rStyle w:val="a4"/>
          <w:b/>
          <w:i w:val="0"/>
          <w:color w:val="3E4040"/>
          <w:sz w:val="27"/>
          <w:szCs w:val="27"/>
          <w:bdr w:val="none" w:sz="0" w:space="0" w:color="auto" w:frame="1"/>
        </w:rPr>
        <w:t>Изменение о налогах и сборах.</w:t>
      </w:r>
    </w:p>
    <w:p w:rsidR="00BB0B48" w:rsidRP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b/>
          <w:color w:val="3E4040"/>
          <w:sz w:val="27"/>
          <w:szCs w:val="27"/>
        </w:rPr>
      </w:pPr>
      <w:r w:rsidRPr="00BB0B48">
        <w:rPr>
          <w:rStyle w:val="a4"/>
          <w:b/>
          <w:i w:val="0"/>
          <w:color w:val="3E4040"/>
          <w:sz w:val="27"/>
          <w:szCs w:val="27"/>
          <w:bdr w:val="none" w:sz="0" w:space="0" w:color="auto" w:frame="1"/>
        </w:rPr>
        <w:t>Опубликован </w:t>
      </w:r>
      <w:hyperlink r:id="rId5" w:tgtFrame="_blank" w:history="1">
        <w:r w:rsidRPr="00BB0B48">
          <w:rPr>
            <w:rStyle w:val="a5"/>
            <w:b/>
            <w:iCs/>
            <w:color w:val="00BCD4"/>
            <w:sz w:val="27"/>
            <w:szCs w:val="27"/>
            <w:bdr w:val="none" w:sz="0" w:space="0" w:color="auto" w:frame="1"/>
          </w:rPr>
          <w:t>Закон</w:t>
        </w:r>
      </w:hyperlink>
      <w:r w:rsidRPr="00BB0B48">
        <w:rPr>
          <w:rStyle w:val="a4"/>
          <w:b/>
          <w:i w:val="0"/>
          <w:color w:val="3E4040"/>
          <w:sz w:val="27"/>
          <w:szCs w:val="27"/>
          <w:bdr w:val="none" w:sz="0" w:space="0" w:color="auto" w:frame="1"/>
        </w:rPr>
        <w:t xml:space="preserve"> Республики Беларусь от 31.12.2021 N 141-З «Об изменении законов по вопросам налогообложения» (далее — Закон N 141-З). Рассмотрим наиболее важные изменения в части исчисления сбора за осуществление деятельности по оказанию услуг в сфере </w:t>
      </w:r>
      <w:proofErr w:type="spellStart"/>
      <w:proofErr w:type="gramStart"/>
      <w:r w:rsidRPr="00BB0B48">
        <w:rPr>
          <w:rStyle w:val="a4"/>
          <w:b/>
          <w:i w:val="0"/>
          <w:color w:val="3E4040"/>
          <w:sz w:val="27"/>
          <w:szCs w:val="27"/>
          <w:bdr w:val="none" w:sz="0" w:space="0" w:color="auto" w:frame="1"/>
        </w:rPr>
        <w:t>агроэкотуризма</w:t>
      </w:r>
      <w:proofErr w:type="spellEnd"/>
      <w:r w:rsidRPr="00BB0B48">
        <w:rPr>
          <w:rStyle w:val="a4"/>
          <w:b/>
          <w:i w:val="0"/>
          <w:color w:val="3E4040"/>
          <w:sz w:val="27"/>
          <w:szCs w:val="27"/>
          <w:bdr w:val="none" w:sz="0" w:space="0" w:color="auto" w:frame="1"/>
        </w:rPr>
        <w:t xml:space="preserve">  (</w:t>
      </w:r>
      <w:proofErr w:type="gramEnd"/>
      <w:r w:rsidRPr="00BB0B48">
        <w:rPr>
          <w:rStyle w:val="a4"/>
          <w:b/>
          <w:i w:val="0"/>
          <w:color w:val="3E4040"/>
          <w:sz w:val="27"/>
          <w:szCs w:val="27"/>
          <w:bdr w:val="none" w:sz="0" w:space="0" w:color="auto" w:frame="1"/>
        </w:rPr>
        <w:t>далее — сбор) для организаций и физлиц в 2022 и 2023 гг.</w:t>
      </w:r>
    </w:p>
    <w:p w:rsidR="00BB0B48" w:rsidRP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b/>
          <w:color w:val="3E4040"/>
          <w:sz w:val="27"/>
          <w:szCs w:val="27"/>
        </w:rPr>
      </w:pPr>
      <w:r w:rsidRPr="00BB0B48"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Изменения в 2022 г. для организаций</w:t>
      </w:r>
    </w:p>
    <w:p w:rsid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 w:rsidRPr="00BB0B48"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Организации</w:t>
      </w:r>
      <w:r w:rsidRPr="00BB0B48">
        <w:rPr>
          <w:rFonts w:ascii="Arial" w:hAnsi="Arial" w:cs="Arial"/>
          <w:b/>
          <w:color w:val="3E4040"/>
          <w:sz w:val="27"/>
          <w:szCs w:val="27"/>
        </w:rPr>
        <w:t> с 01.01.2022</w:t>
      </w:r>
      <w:r w:rsidRPr="00BB0B48"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 исключены из числа плательщиков</w:t>
      </w:r>
      <w:r w:rsidRPr="00BB0B48">
        <w:rPr>
          <w:rFonts w:ascii="Arial" w:hAnsi="Arial" w:cs="Arial"/>
          <w:b/>
          <w:color w:val="3E4040"/>
          <w:sz w:val="27"/>
          <w:szCs w:val="27"/>
        </w:rPr>
        <w:t> </w:t>
      </w:r>
      <w:r w:rsidRPr="00BB0B48"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сбора</w:t>
      </w:r>
      <w:r w:rsidRPr="00BB0B48">
        <w:rPr>
          <w:rFonts w:ascii="Arial" w:hAnsi="Arial" w:cs="Arial"/>
          <w:b/>
          <w:color w:val="3E4040"/>
          <w:sz w:val="27"/>
          <w:szCs w:val="27"/>
        </w:rPr>
        <w:t>.</w:t>
      </w:r>
      <w:r>
        <w:rPr>
          <w:rFonts w:ascii="Arial" w:hAnsi="Arial" w:cs="Arial"/>
          <w:color w:val="3E4040"/>
          <w:sz w:val="27"/>
          <w:szCs w:val="27"/>
        </w:rPr>
        <w:t xml:space="preserve"> Напомним, что в 2021 г. организации могли осуществлять деятельность по оказанию услуг в сфере </w:t>
      </w:r>
      <w:proofErr w:type="spellStart"/>
      <w:r>
        <w:rPr>
          <w:rFonts w:ascii="Arial" w:hAnsi="Arial" w:cs="Arial"/>
          <w:color w:val="3E4040"/>
          <w:sz w:val="27"/>
          <w:szCs w:val="27"/>
        </w:rPr>
        <w:t>агроэкотуризма</w:t>
      </w:r>
      <w:proofErr w:type="spellEnd"/>
      <w:r>
        <w:rPr>
          <w:rFonts w:ascii="Arial" w:hAnsi="Arial" w:cs="Arial"/>
          <w:color w:val="3E4040"/>
          <w:sz w:val="27"/>
          <w:szCs w:val="27"/>
        </w:rPr>
        <w:t xml:space="preserve"> при соответствии определенным критериям (</w:t>
      </w:r>
      <w:hyperlink r:id="rId6" w:history="1">
        <w:r>
          <w:rPr>
            <w:rStyle w:val="a5"/>
            <w:rFonts w:ascii="inherit" w:hAnsi="inherit" w:cs="Arial"/>
            <w:color w:val="00BCD4"/>
            <w:sz w:val="27"/>
            <w:szCs w:val="27"/>
            <w:bdr w:val="none" w:sz="0" w:space="0" w:color="auto" w:frame="1"/>
          </w:rPr>
          <w:t>ч. 1 п. 1</w:t>
        </w:r>
      </w:hyperlink>
      <w:r>
        <w:rPr>
          <w:rFonts w:ascii="Arial" w:hAnsi="Arial" w:cs="Arial"/>
          <w:color w:val="3E4040"/>
          <w:sz w:val="27"/>
          <w:szCs w:val="27"/>
        </w:rPr>
        <w:t> Указа N 365, </w:t>
      </w:r>
      <w:proofErr w:type="spellStart"/>
      <w:r>
        <w:rPr>
          <w:rFonts w:ascii="Arial" w:hAnsi="Arial" w:cs="Arial"/>
          <w:color w:val="3E4040"/>
          <w:sz w:val="27"/>
          <w:szCs w:val="27"/>
        </w:rPr>
        <w:fldChar w:fldCharType="begin"/>
      </w:r>
      <w:r>
        <w:rPr>
          <w:rFonts w:ascii="Arial" w:hAnsi="Arial" w:cs="Arial"/>
          <w:color w:val="3E4040"/>
          <w:sz w:val="27"/>
          <w:szCs w:val="27"/>
        </w:rPr>
        <w:instrText xml:space="preserve"> HYPERLINK "https://ilex.by/news/nk-2022-izmeneniya-po-sboru-za-osushhestvlenie-deyatelnosti-po-okazaniyu-uslug-v-sfere-agroekoturizma/" </w:instrText>
      </w:r>
      <w:r>
        <w:rPr>
          <w:rFonts w:ascii="Arial" w:hAnsi="Arial" w:cs="Arial"/>
          <w:color w:val="3E4040"/>
          <w:sz w:val="27"/>
          <w:szCs w:val="27"/>
        </w:rPr>
        <w:fldChar w:fldCharType="separate"/>
      </w:r>
      <w:r>
        <w:rPr>
          <w:rStyle w:val="a5"/>
          <w:rFonts w:ascii="inherit" w:hAnsi="inherit" w:cs="Arial"/>
          <w:color w:val="00BCD4"/>
          <w:sz w:val="27"/>
          <w:szCs w:val="27"/>
          <w:bdr w:val="none" w:sz="0" w:space="0" w:color="auto" w:frame="1"/>
        </w:rPr>
        <w:t>абз</w:t>
      </w:r>
      <w:proofErr w:type="spellEnd"/>
      <w:r>
        <w:rPr>
          <w:rStyle w:val="a5"/>
          <w:rFonts w:ascii="inherit" w:hAnsi="inherit" w:cs="Arial"/>
          <w:color w:val="00BCD4"/>
          <w:sz w:val="27"/>
          <w:szCs w:val="27"/>
          <w:bdr w:val="none" w:sz="0" w:space="0" w:color="auto" w:frame="1"/>
        </w:rPr>
        <w:t>. 3 п. 1 ст. 373</w:t>
      </w:r>
      <w:r>
        <w:rPr>
          <w:rFonts w:ascii="Arial" w:hAnsi="Arial" w:cs="Arial"/>
          <w:color w:val="3E4040"/>
          <w:sz w:val="27"/>
          <w:szCs w:val="27"/>
        </w:rPr>
        <w:fldChar w:fldCharType="end"/>
      </w:r>
      <w:r>
        <w:rPr>
          <w:rFonts w:ascii="Arial" w:hAnsi="Arial" w:cs="Arial"/>
          <w:color w:val="3E4040"/>
          <w:sz w:val="27"/>
          <w:szCs w:val="27"/>
        </w:rPr>
        <w:t> НК-2021, ст. 373 НК-2022).</w:t>
      </w:r>
    </w:p>
    <w:p w:rsid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Сумма сбора, уплаченная</w:t>
      </w:r>
      <w:r>
        <w:rPr>
          <w:rFonts w:ascii="Arial" w:hAnsi="Arial" w:cs="Arial"/>
          <w:color w:val="3E4040"/>
          <w:sz w:val="27"/>
          <w:szCs w:val="27"/>
        </w:rPr>
        <w:t> организациями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за полный 2022 г.</w:t>
      </w:r>
      <w:r>
        <w:rPr>
          <w:rFonts w:ascii="Arial" w:hAnsi="Arial" w:cs="Arial"/>
          <w:color w:val="3E4040"/>
          <w:sz w:val="27"/>
          <w:szCs w:val="27"/>
        </w:rPr>
        <w:t> в срок, установленный </w:t>
      </w:r>
      <w:proofErr w:type="spellStart"/>
      <w:r>
        <w:rPr>
          <w:rFonts w:ascii="Arial" w:hAnsi="Arial" w:cs="Arial"/>
          <w:color w:val="3E4040"/>
          <w:sz w:val="27"/>
          <w:szCs w:val="27"/>
        </w:rPr>
        <w:fldChar w:fldCharType="begin"/>
      </w:r>
      <w:r>
        <w:rPr>
          <w:rFonts w:ascii="Arial" w:hAnsi="Arial" w:cs="Arial"/>
          <w:color w:val="3E4040"/>
          <w:sz w:val="27"/>
          <w:szCs w:val="27"/>
        </w:rPr>
        <w:instrText xml:space="preserve"> HYPERLINK "https://ilex.by/news/nk-2022-izmeneniya-po-sboru-za-osushhestvlenie-deyatelnosti-po-okazaniyu-uslug-v-sfere-agroekoturizma/" </w:instrText>
      </w:r>
      <w:r>
        <w:rPr>
          <w:rFonts w:ascii="Arial" w:hAnsi="Arial" w:cs="Arial"/>
          <w:color w:val="3E4040"/>
          <w:sz w:val="27"/>
          <w:szCs w:val="27"/>
        </w:rPr>
        <w:fldChar w:fldCharType="separate"/>
      </w:r>
      <w:r>
        <w:rPr>
          <w:rStyle w:val="a5"/>
          <w:rFonts w:ascii="inherit" w:hAnsi="inherit" w:cs="Arial"/>
          <w:color w:val="00BCD4"/>
          <w:sz w:val="27"/>
          <w:szCs w:val="27"/>
          <w:bdr w:val="none" w:sz="0" w:space="0" w:color="auto" w:frame="1"/>
        </w:rPr>
        <w:t>абз</w:t>
      </w:r>
      <w:proofErr w:type="spellEnd"/>
      <w:r>
        <w:rPr>
          <w:rStyle w:val="a5"/>
          <w:rFonts w:ascii="inherit" w:hAnsi="inherit" w:cs="Arial"/>
          <w:color w:val="00BCD4"/>
          <w:sz w:val="27"/>
          <w:szCs w:val="27"/>
          <w:bdr w:val="none" w:sz="0" w:space="0" w:color="auto" w:frame="1"/>
        </w:rPr>
        <w:t>. 2 п. 1 ст. 377</w:t>
      </w:r>
      <w:r>
        <w:rPr>
          <w:rFonts w:ascii="Arial" w:hAnsi="Arial" w:cs="Arial"/>
          <w:color w:val="3E4040"/>
          <w:sz w:val="27"/>
          <w:szCs w:val="27"/>
        </w:rPr>
        <w:fldChar w:fldCharType="end"/>
      </w:r>
      <w:r>
        <w:rPr>
          <w:rFonts w:ascii="Arial" w:hAnsi="Arial" w:cs="Arial"/>
          <w:color w:val="3E4040"/>
          <w:sz w:val="27"/>
          <w:szCs w:val="27"/>
        </w:rPr>
        <w:t> НК-2021 (т.е. до 28.12.2021), подлежит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зачету (возврату)</w:t>
      </w:r>
      <w:r>
        <w:rPr>
          <w:rFonts w:ascii="Arial" w:hAnsi="Arial" w:cs="Arial"/>
          <w:color w:val="3E4040"/>
          <w:sz w:val="27"/>
          <w:szCs w:val="27"/>
        </w:rPr>
        <w:t> в порядке, предусмотренном ст. 66 НК-2022 (ч. 1 п. 12 ст. 7 Закона N 141-З).</w:t>
      </w:r>
    </w:p>
    <w:p w:rsidR="00BB0B48" w:rsidRDefault="00BB0B48" w:rsidP="008E1C15">
      <w:pPr>
        <w:pStyle w:val="a3"/>
        <w:shd w:val="clear" w:color="auto" w:fill="FFFFFF"/>
        <w:spacing w:before="0" w:beforeAutospacing="0" w:after="225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Fonts w:ascii="Arial" w:hAnsi="Arial" w:cs="Arial"/>
          <w:color w:val="3E4040"/>
          <w:sz w:val="27"/>
          <w:szCs w:val="27"/>
        </w:rPr>
        <w:t xml:space="preserve">В случае если организация заключила договор на оказание услуг в сфере </w:t>
      </w:r>
      <w:proofErr w:type="spellStart"/>
      <w:r>
        <w:rPr>
          <w:rFonts w:ascii="Arial" w:hAnsi="Arial" w:cs="Arial"/>
          <w:color w:val="3E4040"/>
          <w:sz w:val="27"/>
          <w:szCs w:val="27"/>
        </w:rPr>
        <w:t>агроэкотуризма</w:t>
      </w:r>
      <w:proofErr w:type="spellEnd"/>
      <w:r>
        <w:rPr>
          <w:rFonts w:ascii="Arial" w:hAnsi="Arial" w:cs="Arial"/>
          <w:color w:val="3E4040"/>
          <w:sz w:val="27"/>
          <w:szCs w:val="27"/>
        </w:rPr>
        <w:t xml:space="preserve">, согласно которому первый день пребывания </w:t>
      </w:r>
      <w:proofErr w:type="spellStart"/>
      <w:r>
        <w:rPr>
          <w:rFonts w:ascii="Arial" w:hAnsi="Arial" w:cs="Arial"/>
          <w:color w:val="3E4040"/>
          <w:sz w:val="27"/>
          <w:szCs w:val="27"/>
        </w:rPr>
        <w:t>агроэкотуриста</w:t>
      </w:r>
      <w:proofErr w:type="spellEnd"/>
      <w:r>
        <w:rPr>
          <w:rFonts w:ascii="Arial" w:hAnsi="Arial" w:cs="Arial"/>
          <w:color w:val="3E404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3E4040"/>
          <w:sz w:val="27"/>
          <w:szCs w:val="27"/>
        </w:rPr>
        <w:t>агроэкоусадьбе</w:t>
      </w:r>
      <w:proofErr w:type="spellEnd"/>
      <w:r>
        <w:rPr>
          <w:rFonts w:ascii="Arial" w:hAnsi="Arial" w:cs="Arial"/>
          <w:color w:val="3E4040"/>
          <w:sz w:val="27"/>
          <w:szCs w:val="27"/>
        </w:rPr>
        <w:t xml:space="preserve"> приходится на декабрь 2021 г., а последний день его пребывания — на январь 2022 г., то доходы (прибыль, выручка), полученные организацией от оказания таких услуг, не учитываются при исчислении налога на прибыль, НДС, единого налога для производителей сельхозпродукции, налога при УСН (ч. 2 п. 12 ст. 7 Закона N 141-З).</w:t>
      </w:r>
    </w:p>
    <w:p w:rsid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lastRenderedPageBreak/>
        <w:t>Изменения в 2022 г. для физлиц</w:t>
      </w:r>
    </w:p>
    <w:p w:rsid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Fonts w:ascii="Arial" w:hAnsi="Arial" w:cs="Arial"/>
          <w:color w:val="3E4040"/>
          <w:sz w:val="27"/>
          <w:szCs w:val="27"/>
        </w:rPr>
        <w:t>С 01.01.2022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налоговый период</w:t>
      </w:r>
      <w:r>
        <w:rPr>
          <w:rFonts w:ascii="Arial" w:hAnsi="Arial" w:cs="Arial"/>
          <w:color w:val="3E4040"/>
          <w:sz w:val="27"/>
          <w:szCs w:val="27"/>
        </w:rPr>
        <w:t> сбора —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календарный месяц </w:t>
      </w:r>
      <w:r>
        <w:rPr>
          <w:rFonts w:ascii="Arial" w:hAnsi="Arial" w:cs="Arial"/>
          <w:color w:val="3E4040"/>
          <w:sz w:val="27"/>
          <w:szCs w:val="27"/>
        </w:rPr>
        <w:t>(ст. 376 НК-2022).</w:t>
      </w:r>
    </w:p>
    <w:p w:rsid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Fonts w:ascii="Arial" w:hAnsi="Arial" w:cs="Arial"/>
          <w:color w:val="3E4040"/>
          <w:sz w:val="27"/>
          <w:szCs w:val="27"/>
        </w:rPr>
        <w:t>Увеличена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ставка сбора.</w:t>
      </w:r>
      <w:r>
        <w:rPr>
          <w:rFonts w:ascii="Arial" w:hAnsi="Arial" w:cs="Arial"/>
          <w:color w:val="3E4040"/>
          <w:sz w:val="27"/>
          <w:szCs w:val="27"/>
        </w:rPr>
        <w:t> С 01.01.2022 она установлена в размере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 xml:space="preserve">31 руб. в календарный месяц за каждую </w:t>
      </w:r>
      <w:proofErr w:type="spellStart"/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агроэкоусадьбу</w:t>
      </w:r>
      <w:proofErr w:type="spellEnd"/>
      <w:r>
        <w:rPr>
          <w:rFonts w:ascii="Arial" w:hAnsi="Arial" w:cs="Arial"/>
          <w:color w:val="3E4040"/>
          <w:sz w:val="27"/>
          <w:szCs w:val="27"/>
        </w:rPr>
        <w:t xml:space="preserve">. Напомним, что в 2021 г. налоговый период — календарный год, ставка сбора — 2 базовые  величины за каждую </w:t>
      </w:r>
      <w:proofErr w:type="spellStart"/>
      <w:r>
        <w:rPr>
          <w:rFonts w:ascii="Arial" w:hAnsi="Arial" w:cs="Arial"/>
          <w:color w:val="3E4040"/>
          <w:sz w:val="27"/>
          <w:szCs w:val="27"/>
        </w:rPr>
        <w:t>агроэкоусадьбу</w:t>
      </w:r>
      <w:proofErr w:type="spellEnd"/>
      <w:r>
        <w:rPr>
          <w:rFonts w:ascii="Arial" w:hAnsi="Arial" w:cs="Arial"/>
          <w:color w:val="3E4040"/>
          <w:sz w:val="27"/>
          <w:szCs w:val="27"/>
        </w:rPr>
        <w:t xml:space="preserve"> в год (</w:t>
      </w:r>
      <w:hyperlink r:id="rId7" w:history="1">
        <w:r>
          <w:rPr>
            <w:rStyle w:val="a5"/>
            <w:rFonts w:ascii="inherit" w:hAnsi="inherit" w:cs="Arial"/>
            <w:color w:val="00BCD4"/>
            <w:sz w:val="27"/>
            <w:szCs w:val="27"/>
            <w:bdr w:val="none" w:sz="0" w:space="0" w:color="auto" w:frame="1"/>
          </w:rPr>
          <w:t>п. 2 ст. 375</w:t>
        </w:r>
      </w:hyperlink>
      <w:r>
        <w:rPr>
          <w:rFonts w:ascii="Arial" w:hAnsi="Arial" w:cs="Arial"/>
          <w:color w:val="3E4040"/>
          <w:sz w:val="27"/>
          <w:szCs w:val="27"/>
        </w:rPr>
        <w:t>, </w:t>
      </w:r>
      <w:hyperlink r:id="rId8" w:history="1">
        <w:r>
          <w:rPr>
            <w:rStyle w:val="a5"/>
            <w:rFonts w:ascii="inherit" w:hAnsi="inherit" w:cs="Arial"/>
            <w:color w:val="00BCD4"/>
            <w:sz w:val="27"/>
            <w:szCs w:val="27"/>
            <w:bdr w:val="none" w:sz="0" w:space="0" w:color="auto" w:frame="1"/>
          </w:rPr>
          <w:t>ст. 376</w:t>
        </w:r>
      </w:hyperlink>
      <w:r>
        <w:rPr>
          <w:rFonts w:ascii="Arial" w:hAnsi="Arial" w:cs="Arial"/>
          <w:color w:val="3E4040"/>
          <w:sz w:val="27"/>
          <w:szCs w:val="27"/>
        </w:rPr>
        <w:t> НК-2021, </w:t>
      </w:r>
      <w:hyperlink r:id="rId9" w:history="1">
        <w:r>
          <w:rPr>
            <w:rStyle w:val="a5"/>
            <w:rFonts w:ascii="inherit" w:hAnsi="inherit" w:cs="Arial"/>
            <w:color w:val="00BCD4"/>
            <w:sz w:val="27"/>
            <w:szCs w:val="27"/>
            <w:bdr w:val="none" w:sz="0" w:space="0" w:color="auto" w:frame="1"/>
          </w:rPr>
          <w:t>ч. 4 п. 7</w:t>
        </w:r>
      </w:hyperlink>
      <w:r>
        <w:rPr>
          <w:rFonts w:ascii="Arial" w:hAnsi="Arial" w:cs="Arial"/>
          <w:color w:val="3E4040"/>
          <w:sz w:val="27"/>
          <w:szCs w:val="27"/>
        </w:rPr>
        <w:t> Указа N 365, п. 2 ст. 375 НК-2022).</w:t>
      </w:r>
    </w:p>
    <w:p w:rsid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Физлица</w:t>
      </w:r>
      <w:r>
        <w:rPr>
          <w:rFonts w:ascii="Arial" w:hAnsi="Arial" w:cs="Arial"/>
          <w:color w:val="3E4040"/>
          <w:sz w:val="27"/>
          <w:szCs w:val="27"/>
        </w:rPr>
        <w:t>, уплатившие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сбор за полный 2022 г.</w:t>
      </w:r>
      <w:r>
        <w:rPr>
          <w:rFonts w:ascii="Arial" w:hAnsi="Arial" w:cs="Arial"/>
          <w:color w:val="3E4040"/>
          <w:sz w:val="27"/>
          <w:szCs w:val="27"/>
        </w:rPr>
        <w:t xml:space="preserve"> в срок, установленный </w:t>
      </w:r>
      <w:proofErr w:type="spellStart"/>
      <w:r>
        <w:rPr>
          <w:rFonts w:ascii="Arial" w:hAnsi="Arial" w:cs="Arial"/>
          <w:color w:val="3E4040"/>
          <w:sz w:val="27"/>
          <w:szCs w:val="27"/>
        </w:rPr>
        <w:t>абз</w:t>
      </w:r>
      <w:proofErr w:type="spellEnd"/>
      <w:r>
        <w:rPr>
          <w:rFonts w:ascii="Arial" w:hAnsi="Arial" w:cs="Arial"/>
          <w:color w:val="3E4040"/>
          <w:sz w:val="27"/>
          <w:szCs w:val="27"/>
        </w:rPr>
        <w:t>. 2 п. 1 ст. 377 НК-2021 (т.е. до 28.12.2021), производят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ежемесячную уплату сбора</w:t>
      </w:r>
      <w:r>
        <w:rPr>
          <w:rFonts w:ascii="Arial" w:hAnsi="Arial" w:cs="Arial"/>
          <w:color w:val="3E4040"/>
          <w:sz w:val="27"/>
          <w:szCs w:val="27"/>
        </w:rPr>
        <w:t> начиная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с 01.03.2022</w:t>
      </w:r>
      <w:r>
        <w:rPr>
          <w:rFonts w:ascii="Arial" w:hAnsi="Arial" w:cs="Arial"/>
          <w:color w:val="3E4040"/>
          <w:sz w:val="27"/>
          <w:szCs w:val="27"/>
        </w:rPr>
        <w:t> (п. 13 ст. 7 Закона N 141-З).</w:t>
      </w:r>
    </w:p>
    <w:p w:rsid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Fonts w:ascii="Arial" w:hAnsi="Arial" w:cs="Arial"/>
          <w:color w:val="3E4040"/>
          <w:sz w:val="27"/>
          <w:szCs w:val="27"/>
        </w:rPr>
        <w:t>С 01.01.2022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уплата</w:t>
      </w:r>
      <w:r>
        <w:rPr>
          <w:rFonts w:ascii="Arial" w:hAnsi="Arial" w:cs="Arial"/>
          <w:color w:val="3E4040"/>
          <w:sz w:val="27"/>
          <w:szCs w:val="27"/>
        </w:rPr>
        <w:t> сбора производится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не позднее 1-го числа каждого календарного месяца</w:t>
      </w:r>
      <w:r>
        <w:rPr>
          <w:rFonts w:ascii="Arial" w:hAnsi="Arial" w:cs="Arial"/>
          <w:color w:val="3E4040"/>
          <w:sz w:val="27"/>
          <w:szCs w:val="27"/>
        </w:rPr>
        <w:t>. Плательщики, впервые начавшие деятельность не с начала календарного месяца, уплачивают сбор до начала осуществления деятельности в налоговом периоде (ч. 1 п. 1 ст. 377 НК-2022).</w:t>
      </w:r>
    </w:p>
    <w:p w:rsidR="00BB0B48" w:rsidRDefault="00BB0B48" w:rsidP="008E1C15">
      <w:pPr>
        <w:pStyle w:val="a3"/>
        <w:shd w:val="clear" w:color="auto" w:fill="FFFFFF"/>
        <w:spacing w:before="0" w:beforeAutospacing="0" w:after="225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Fonts w:ascii="Arial" w:hAnsi="Arial" w:cs="Arial"/>
          <w:color w:val="3E4040"/>
          <w:sz w:val="27"/>
          <w:szCs w:val="27"/>
        </w:rPr>
        <w:t xml:space="preserve">В 2022 г. исчисление сбора прекращается с 1-го числа месяца, следующего за месяцем, в котором прекращена деятельность по оказанию услуг в сфере </w:t>
      </w:r>
      <w:proofErr w:type="spellStart"/>
      <w:r>
        <w:rPr>
          <w:rFonts w:ascii="Arial" w:hAnsi="Arial" w:cs="Arial"/>
          <w:color w:val="3E4040"/>
          <w:sz w:val="27"/>
          <w:szCs w:val="27"/>
        </w:rPr>
        <w:t>агроэкотуризма</w:t>
      </w:r>
      <w:proofErr w:type="spellEnd"/>
      <w:r>
        <w:rPr>
          <w:rFonts w:ascii="Arial" w:hAnsi="Arial" w:cs="Arial"/>
          <w:color w:val="3E4040"/>
          <w:sz w:val="27"/>
          <w:szCs w:val="27"/>
        </w:rPr>
        <w:t xml:space="preserve">. В случае прекращения деятельности по оказанию услуг в сфере </w:t>
      </w:r>
      <w:proofErr w:type="spellStart"/>
      <w:r>
        <w:rPr>
          <w:rFonts w:ascii="Arial" w:hAnsi="Arial" w:cs="Arial"/>
          <w:color w:val="3E4040"/>
          <w:sz w:val="27"/>
          <w:szCs w:val="27"/>
        </w:rPr>
        <w:t>агроэкотуризма</w:t>
      </w:r>
      <w:proofErr w:type="spellEnd"/>
      <w:r>
        <w:rPr>
          <w:rFonts w:ascii="Arial" w:hAnsi="Arial" w:cs="Arial"/>
          <w:color w:val="3E4040"/>
          <w:sz w:val="27"/>
          <w:szCs w:val="27"/>
        </w:rPr>
        <w:t xml:space="preserve"> до истечения календарного месяца или неосуществления деятельности в течение календарного месяца уплаченная сумма сбора возврату (зачету) не подлежит (ч. 2, 3 п. 1 ст. 377 НК-2022).</w:t>
      </w:r>
    </w:p>
    <w:p w:rsid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Fonts w:ascii="Arial" w:hAnsi="Arial" w:cs="Arial"/>
          <w:color w:val="3E4040"/>
          <w:sz w:val="27"/>
          <w:szCs w:val="27"/>
        </w:rPr>
        <w:t xml:space="preserve">Уточнены срок и порядок исчисления суммы доплаты сбора налоговым органом в случае, если доходы от оказания услуг в сфере </w:t>
      </w:r>
      <w:proofErr w:type="spellStart"/>
      <w:r>
        <w:rPr>
          <w:rFonts w:ascii="Arial" w:hAnsi="Arial" w:cs="Arial"/>
          <w:color w:val="3E4040"/>
          <w:sz w:val="27"/>
          <w:szCs w:val="27"/>
        </w:rPr>
        <w:t>агроэкотуризма</w:t>
      </w:r>
      <w:proofErr w:type="spellEnd"/>
      <w:r>
        <w:rPr>
          <w:rFonts w:ascii="Arial" w:hAnsi="Arial" w:cs="Arial"/>
          <w:color w:val="3E4040"/>
          <w:sz w:val="27"/>
          <w:szCs w:val="27"/>
        </w:rPr>
        <w:t xml:space="preserve"> превышают стократный размер сбора, уплаченного физлицом за налоговые периоды, в которых был получен такой доход. В 2022 г. налоговый орган будет рассчитывать доплату не позднее дня, следующего за днем составления сообщения о соответствии расходов и </w:t>
      </w:r>
      <w:r>
        <w:rPr>
          <w:rFonts w:ascii="Arial" w:hAnsi="Arial" w:cs="Arial"/>
          <w:color w:val="3E4040"/>
          <w:sz w:val="27"/>
          <w:szCs w:val="27"/>
        </w:rPr>
        <w:lastRenderedPageBreak/>
        <w:t>доходов физлица или акта камеральной проверки соответствия расходов доходам физлица (</w:t>
      </w:r>
      <w:hyperlink r:id="rId10" w:history="1">
        <w:r>
          <w:rPr>
            <w:rStyle w:val="a5"/>
            <w:rFonts w:ascii="inherit" w:hAnsi="inherit" w:cs="Arial"/>
            <w:color w:val="00BCD4"/>
            <w:sz w:val="27"/>
            <w:szCs w:val="27"/>
            <w:bdr w:val="none" w:sz="0" w:space="0" w:color="auto" w:frame="1"/>
          </w:rPr>
          <w:t>ч. 1, 2 п. 2 ст. 377</w:t>
        </w:r>
      </w:hyperlink>
      <w:r>
        <w:rPr>
          <w:rFonts w:ascii="Arial" w:hAnsi="Arial" w:cs="Arial"/>
          <w:color w:val="3E4040"/>
          <w:sz w:val="27"/>
          <w:szCs w:val="27"/>
        </w:rPr>
        <w:t> НК-2022).</w:t>
      </w:r>
    </w:p>
    <w:p w:rsidR="00BB0B48" w:rsidRDefault="00BB0B48" w:rsidP="008E1C15">
      <w:pPr>
        <w:pStyle w:val="a3"/>
        <w:shd w:val="clear" w:color="auto" w:fill="FFFFFF"/>
        <w:spacing w:before="0" w:beforeAutospacing="0" w:after="225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Fonts w:ascii="Arial" w:hAnsi="Arial" w:cs="Arial"/>
          <w:color w:val="3E4040"/>
          <w:sz w:val="27"/>
          <w:szCs w:val="27"/>
        </w:rPr>
        <w:t>В 2021 г. исчисление суммы доплаты сбора производилось не позднее дня, следующего за днем завершения камеральной проверки по вопросу соблюдения законодательства о декларировании физлицами доходов и имущества по требованию налоговых органов (ч. 2 п. 2 ст. 377 НК-2021).</w:t>
      </w:r>
    </w:p>
    <w:p w:rsidR="00BB0B48" w:rsidRDefault="00BB0B48" w:rsidP="008E1C15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Fonts w:ascii="Arial" w:hAnsi="Arial" w:cs="Arial"/>
          <w:color w:val="3E4040"/>
          <w:sz w:val="27"/>
          <w:szCs w:val="27"/>
        </w:rPr>
        <w:t>Также уточнены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способы вручения</w:t>
      </w:r>
      <w:r>
        <w:rPr>
          <w:rFonts w:ascii="Arial" w:hAnsi="Arial" w:cs="Arial"/>
          <w:color w:val="3E4040"/>
          <w:sz w:val="27"/>
          <w:szCs w:val="27"/>
        </w:rPr>
        <w:t> плательщику-физлицу </w:t>
      </w:r>
      <w:r>
        <w:rPr>
          <w:rStyle w:val="a6"/>
          <w:rFonts w:ascii="inherit" w:hAnsi="inherit" w:cs="Arial"/>
          <w:color w:val="3E4040"/>
          <w:sz w:val="27"/>
          <w:szCs w:val="27"/>
          <w:bdr w:val="none" w:sz="0" w:space="0" w:color="auto" w:frame="1"/>
        </w:rPr>
        <w:t>извещения о доплате</w:t>
      </w:r>
      <w:r>
        <w:rPr>
          <w:rFonts w:ascii="Arial" w:hAnsi="Arial" w:cs="Arial"/>
          <w:color w:val="3E4040"/>
          <w:sz w:val="27"/>
          <w:szCs w:val="27"/>
        </w:rPr>
        <w:t> сбора. С 2022 г. оно считается врученным (</w:t>
      </w:r>
      <w:hyperlink r:id="rId11" w:history="1">
        <w:r>
          <w:rPr>
            <w:rStyle w:val="a5"/>
            <w:rFonts w:ascii="inherit" w:hAnsi="inherit" w:cs="Arial"/>
            <w:color w:val="00BCD4"/>
            <w:sz w:val="27"/>
            <w:szCs w:val="27"/>
            <w:bdr w:val="none" w:sz="0" w:space="0" w:color="auto" w:frame="1"/>
          </w:rPr>
          <w:t>ч. 4 ст. 377</w:t>
        </w:r>
      </w:hyperlink>
      <w:r>
        <w:rPr>
          <w:rFonts w:ascii="Arial" w:hAnsi="Arial" w:cs="Arial"/>
          <w:color w:val="3E4040"/>
          <w:sz w:val="27"/>
          <w:szCs w:val="27"/>
        </w:rPr>
        <w:t> НК-2022):</w:t>
      </w:r>
    </w:p>
    <w:p w:rsidR="00BB0B48" w:rsidRDefault="00BB0B48" w:rsidP="008E1C15">
      <w:pPr>
        <w:pStyle w:val="a3"/>
        <w:shd w:val="clear" w:color="auto" w:fill="FFFFFF"/>
        <w:spacing w:before="0" w:beforeAutospacing="0" w:after="225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Fonts w:ascii="Arial" w:hAnsi="Arial" w:cs="Arial"/>
          <w:color w:val="3E4040"/>
          <w:sz w:val="27"/>
          <w:szCs w:val="27"/>
        </w:rPr>
        <w:t>— в день его вручения лично плательщику (его представителю) под роспись;</w:t>
      </w:r>
      <w:bookmarkStart w:id="0" w:name="_GoBack"/>
      <w:bookmarkEnd w:id="0"/>
    </w:p>
    <w:p w:rsidR="00BB0B48" w:rsidRDefault="00BB0B48" w:rsidP="008E1C15">
      <w:pPr>
        <w:pStyle w:val="a3"/>
        <w:shd w:val="clear" w:color="auto" w:fill="FFFFFF"/>
        <w:spacing w:before="0" w:beforeAutospacing="0" w:after="225" w:afterAutospacing="0" w:line="480" w:lineRule="atLeast"/>
        <w:jc w:val="both"/>
        <w:textAlignment w:val="baseline"/>
        <w:rPr>
          <w:rFonts w:ascii="Arial" w:hAnsi="Arial" w:cs="Arial"/>
          <w:color w:val="3E4040"/>
          <w:sz w:val="27"/>
          <w:szCs w:val="27"/>
        </w:rPr>
      </w:pPr>
      <w:r>
        <w:rPr>
          <w:rFonts w:ascii="Arial" w:hAnsi="Arial" w:cs="Arial"/>
          <w:color w:val="3E4040"/>
          <w:sz w:val="27"/>
          <w:szCs w:val="27"/>
        </w:rPr>
        <w:t>— по истечении 10 календарных дней со дня направления его посредством почтовой связи, отправки через личный кабинет плательщика или иным электронным способом.</w:t>
      </w:r>
    </w:p>
    <w:p w:rsidR="00F4617B" w:rsidRDefault="00F4617B" w:rsidP="008E1C15">
      <w:pPr>
        <w:jc w:val="both"/>
      </w:pPr>
    </w:p>
    <w:sectPr w:rsidR="00F4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8"/>
    <w:rsid w:val="007D47F9"/>
    <w:rsid w:val="008E1C15"/>
    <w:rsid w:val="00BB0B48"/>
    <w:rsid w:val="00F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38849-1498-4A6E-8844-19FA2B85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0B48"/>
    <w:rPr>
      <w:i/>
      <w:iCs/>
    </w:rPr>
  </w:style>
  <w:style w:type="character" w:styleId="a5">
    <w:name w:val="Hyperlink"/>
    <w:basedOn w:val="a0"/>
    <w:uiPriority w:val="99"/>
    <w:semiHidden/>
    <w:unhideWhenUsed/>
    <w:rsid w:val="00BB0B48"/>
    <w:rPr>
      <w:color w:val="0000FF"/>
      <w:u w:val="single"/>
    </w:rPr>
  </w:style>
  <w:style w:type="character" w:styleId="a6">
    <w:name w:val="Strong"/>
    <w:basedOn w:val="a0"/>
    <w:uiPriority w:val="22"/>
    <w:qFormat/>
    <w:rsid w:val="00BB0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.by/news/nk-2022-izmeneniya-po-sboru-za-osushhestvlenie-deyatelnosti-po-okazaniyu-uslug-v-sfere-agroekoturizm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lex.by/news/nk-2022-izmeneniya-po-sboru-za-osushhestvlenie-deyatelnosti-po-okazaniyu-uslug-v-sfere-agroekoturizm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ex.by/news/nk-2022-izmeneniya-po-sboru-za-osushhestvlenie-deyatelnosti-po-okazaniyu-uslug-v-sfere-agroekoturizma/" TargetMode="External"/><Relationship Id="rId11" Type="http://schemas.openxmlformats.org/officeDocument/2006/relationships/hyperlink" Target="https://ilex.by/news/nk-2022-izmeneniya-po-sboru-za-osushhestvlenie-deyatelnosti-po-okazaniyu-uslug-v-sfere-agroekoturizma/" TargetMode="External"/><Relationship Id="rId5" Type="http://schemas.openxmlformats.org/officeDocument/2006/relationships/hyperlink" Target="https://pravo.by/document/?guid=12551&amp;p0=H12100141&amp;p1=1&amp;p5=0" TargetMode="External"/><Relationship Id="rId10" Type="http://schemas.openxmlformats.org/officeDocument/2006/relationships/hyperlink" Target="https://ilex.by/news/nk-2022-izmeneniya-po-sboru-za-osushhestvlenie-deyatelnosti-po-okazaniyu-uslug-v-sfere-agroekoturizma/" TargetMode="External"/><Relationship Id="rId4" Type="http://schemas.openxmlformats.org/officeDocument/2006/relationships/hyperlink" Target="http://www.nalog.gov.by/ru/sbor-za-osushchestvlenie-deyatelnosti-po-okazaniyu-uslug-vsfere-agroehkoturizma/" TargetMode="External"/><Relationship Id="rId9" Type="http://schemas.openxmlformats.org/officeDocument/2006/relationships/hyperlink" Target="https://ilex.by/news/nk-2022-izmeneniya-po-sboru-za-osushhestvlenie-deyatelnosti-po-okazaniyu-uslug-v-sfere-agroekotur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3</cp:revision>
  <dcterms:created xsi:type="dcterms:W3CDTF">2022-01-31T08:57:00Z</dcterms:created>
  <dcterms:modified xsi:type="dcterms:W3CDTF">2022-02-02T06:17:00Z</dcterms:modified>
</cp:coreProperties>
</file>